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kf5-kwindowsystem</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SPDX-FileCopyrightText: 2013 Aurélien </w:t>
      </w:r>
      <w:r>
        <w:rPr>
          <w:rStyle w:val="a0"/>
          <w:rFonts w:ascii="宋体" w:hAnsi="宋体"/>
          <w:sz w:val="22"/>
        </w:rPr>
        <w:t>Gâteau &lt;agateau@kde.org&gt;</w:t>
      </w:r>
      <w:r>
        <w:rPr>
          <w:rStyle w:val="a0"/>
          <w:rFonts w:ascii="宋体" w:hAnsi="宋体"/>
          <w:sz w:val="22"/>
        </w:rPr>
        <w:br/>
        <w:t>SPDX-FileCopyrightText: 2007 Lubos Lunak &lt;l.lunak@kde.org&gt;</w:t>
      </w:r>
      <w:r>
        <w:rPr>
          <w:rStyle w:val="a0"/>
          <w:rFonts w:ascii="宋体" w:hAnsi="宋体"/>
          <w:sz w:val="22"/>
        </w:rPr>
        <w:br/>
        <w:t>SPDX-FileCopyrightText: 2003 Luboš Luňák &lt;l.lunak@kde.org&gt;</w:t>
      </w:r>
      <w:r>
        <w:rPr>
          <w:rStyle w:val="a0"/>
          <w:rFonts w:ascii="宋体" w:hAnsi="宋体"/>
          <w:sz w:val="22"/>
        </w:rPr>
        <w:br/>
        <w:t>SPDX-FileCopyrightText: 2016 Martin Gräßlin &lt;mgraesslin@kde.org&gt;</w:t>
      </w:r>
      <w:r>
        <w:rPr>
          <w:rStyle w:val="a0"/>
          <w:rFonts w:ascii="宋体" w:hAnsi="宋体"/>
          <w:sz w:val="22"/>
        </w:rPr>
        <w:br/>
        <w:t>SPDX-FileCopyrightText: 1999 Matthias Ettrich &lt;e</w:t>
      </w:r>
      <w:r>
        <w:rPr>
          <w:rStyle w:val="a0"/>
          <w:rFonts w:ascii="宋体" w:hAnsi="宋体"/>
          <w:sz w:val="22"/>
        </w:rPr>
        <w:t>ttrich@kde.org&gt;</w:t>
      </w:r>
      <w:r>
        <w:rPr>
          <w:rStyle w:val="a0"/>
          <w:rFonts w:ascii="宋体" w:hAnsi="宋体"/>
          <w:sz w:val="22"/>
        </w:rPr>
        <w:br/>
        <w:t>SPDX-FileCopyrightText: 2007 Christian Ehrlicher &lt;ch.ehrlicher@gmx.de&gt;</w:t>
      </w:r>
      <w:r>
        <w:rPr>
          <w:rStyle w:val="a0"/>
          <w:rFonts w:ascii="宋体" w:hAnsi="宋体"/>
          <w:sz w:val="22"/>
        </w:rPr>
        <w:br/>
        <w:t>SPDX-FileCopyrightText: 2013 Martin Gräßlin &lt;mgraesslin@kde.org&gt;</w:t>
      </w:r>
      <w:r>
        <w:rPr>
          <w:rStyle w:val="a0"/>
          <w:rFonts w:ascii="宋体" w:hAnsi="宋体"/>
          <w:sz w:val="22"/>
        </w:rPr>
        <w:br/>
        <w:t>SPDX-FileCopyrightText: 2001 Ellis Whitehead &lt;ellis@kde.org&gt;</w:t>
      </w:r>
      <w:r>
        <w:rPr>
          <w:rStyle w:val="a0"/>
          <w:rFonts w:ascii="宋体" w:hAnsi="宋体"/>
          <w:sz w:val="22"/>
        </w:rPr>
        <w:br/>
        <w:t>S</w:t>
      </w:r>
      <w:r>
        <w:rPr>
          <w:rStyle w:val="a0"/>
          <w:rFonts w:ascii="宋体" w:hAnsi="宋体"/>
          <w:sz w:val="22"/>
        </w:rPr>
        <w:t>PDX-FileCopyrightText: 2012 David Faure &lt;faure@kde.org&gt;</w:t>
      </w:r>
      <w:r>
        <w:rPr>
          <w:rStyle w:val="a0"/>
          <w:rFonts w:ascii="宋体" w:hAnsi="宋体"/>
          <w:sz w:val="22"/>
        </w:rPr>
        <w:br/>
        <w:t>SPDX-FileCopyrightText: 2015 Martin Gräßlin &lt;mgraesslin@kde.org&gt;</w:t>
      </w:r>
      <w:r>
        <w:rPr>
          <w:rStyle w:val="a0"/>
          <w:rFonts w:ascii="宋体" w:hAnsi="宋体"/>
          <w:sz w:val="22"/>
        </w:rPr>
        <w:br/>
        <w:t>SPDX-FileCopyrightText: 2009 Marco Martin &lt;notmart@gmail.com&gt;</w:t>
      </w:r>
      <w:r>
        <w:rPr>
          <w:rStyle w:val="a0"/>
          <w:rFonts w:ascii="宋体" w:hAnsi="宋体"/>
          <w:sz w:val="22"/>
        </w:rPr>
        <w:br/>
        <w:t>SPDX-FileCopyrightText: 2013 Nicolás Alvarez &lt;nicolas.alvarez@gmail.com&gt;</w:t>
      </w:r>
      <w:r>
        <w:rPr>
          <w:rStyle w:val="a0"/>
          <w:rFonts w:ascii="宋体" w:hAnsi="宋体"/>
          <w:sz w:val="22"/>
        </w:rPr>
        <w:br/>
      </w:r>
      <w:r>
        <w:rPr>
          <w:rStyle w:val="a0"/>
          <w:rFonts w:ascii="宋体" w:hAnsi="宋体"/>
          <w:sz w:val="22"/>
        </w:rPr>
        <w:t>SPDX-FileCopyrightText: 2022 Xaver Hugl &lt;xaver.hugl@gmail.com&gt;</w:t>
      </w:r>
      <w:r>
        <w:rPr>
          <w:rStyle w:val="a0"/>
          <w:rFonts w:ascii="宋体" w:hAnsi="宋体"/>
          <w:sz w:val="22"/>
        </w:rPr>
        <w:br/>
        <w:t>SPDX-FileCopyrightText: 2009 Maciej Mrozowski &lt;reavertm@poczta.fm&gt;</w:t>
      </w:r>
      <w:r>
        <w:rPr>
          <w:rStyle w:val="a0"/>
          <w:rFonts w:ascii="宋体" w:hAnsi="宋体"/>
          <w:sz w:val="22"/>
        </w:rPr>
        <w:br/>
        <w:t>SPDX-FileCopyrightText: 2008 Carlo Segato &lt;brandon.ml@gmail.com&gt;</w:t>
      </w:r>
      <w:r>
        <w:rPr>
          <w:rStyle w:val="a0"/>
          <w:rFonts w:ascii="宋体" w:hAnsi="宋体"/>
          <w:sz w:val="22"/>
        </w:rPr>
        <w:br/>
        <w:t>SPDX-FileCopyrightText: 2012, 2019 David Faure &lt;faure@kde.org</w:t>
      </w:r>
      <w:r>
        <w:rPr>
          <w:rStyle w:val="a0"/>
          <w:rFonts w:ascii="宋体" w:hAnsi="宋体"/>
          <w:sz w:val="22"/>
        </w:rPr>
        <w:t>&gt;</w:t>
      </w:r>
      <w:r>
        <w:rPr>
          <w:rStyle w:val="a0"/>
          <w:rFonts w:ascii="宋体" w:hAnsi="宋体"/>
          <w:sz w:val="22"/>
        </w:rPr>
        <w:br/>
        <w:t>SPDX-FileCopyrightText: 2008 Marijn Kruisselbrink &lt;m.kruisselbrink@student.tue.nl&gt;</w:t>
      </w:r>
      <w:r>
        <w:rPr>
          <w:rStyle w:val="a0"/>
          <w:rFonts w:ascii="宋体" w:hAnsi="宋体"/>
          <w:sz w:val="22"/>
        </w:rPr>
        <w:br/>
      </w:r>
      <w:r>
        <w:rPr>
          <w:rStyle w:val="a0"/>
          <w:rFonts w:ascii="宋体" w:hAnsi="宋体"/>
          <w:sz w:val="22"/>
        </w:rPr>
        <w:t>SPDX-FileCopyrightText: 2017 David Faure &lt;faure@kde.org&gt;</w:t>
      </w:r>
      <w:r>
        <w:rPr>
          <w:rStyle w:val="a0"/>
          <w:rFonts w:ascii="宋体" w:hAnsi="宋体"/>
          <w:sz w:val="22"/>
        </w:rPr>
        <w:br/>
        <w:t>SPDX-FileCopyrightText: 2003 Lubos Lunak &lt;l.lunak@kde.org&gt;</w:t>
      </w:r>
      <w:r>
        <w:rPr>
          <w:rStyle w:val="a0"/>
          <w:rFonts w:ascii="宋体" w:hAnsi="宋体"/>
          <w:sz w:val="22"/>
        </w:rPr>
        <w:br/>
        <w:t>SPDX-FileCopyrightText: 2012 Kai Dombrowe &lt;just89@gmx.d</w:t>
      </w:r>
      <w:r>
        <w:rPr>
          <w:rStyle w:val="a0"/>
          <w:rFonts w:ascii="宋体" w:hAnsi="宋体"/>
          <w:sz w:val="22"/>
        </w:rPr>
        <w:t>e&gt;</w:t>
      </w:r>
      <w:r>
        <w:rPr>
          <w:rStyle w:val="a0"/>
          <w:rFonts w:ascii="宋体" w:hAnsi="宋体"/>
          <w:sz w:val="22"/>
        </w:rPr>
        <w:br/>
        <w:t>SPDX-FileCopyrightText: 2001-2003 Lubos Lunak &lt;l.lunak@kde.org&gt;</w:t>
      </w:r>
      <w:r>
        <w:rPr>
          <w:rStyle w:val="a0"/>
          <w:rFonts w:ascii="宋体" w:hAnsi="宋体"/>
          <w:sz w:val="22"/>
        </w:rPr>
        <w:br/>
        <w:t>SPDX-FileCopyrightText: 2014 Aaron Seigo &lt;aseigo@kde.org&gt;</w:t>
      </w:r>
      <w:r>
        <w:rPr>
          <w:rStyle w:val="a0"/>
          <w:rFonts w:ascii="宋体" w:hAnsi="宋体"/>
          <w:sz w:val="22"/>
        </w:rPr>
        <w:br/>
        <w:t>SPDX-FileCopyrightText: 2009 David Faure &lt;faure@kde.org&gt;</w:t>
      </w:r>
      <w:r>
        <w:rPr>
          <w:rStyle w:val="a0"/>
          <w:rFonts w:ascii="宋体" w:hAnsi="宋体"/>
          <w:sz w:val="22"/>
        </w:rPr>
        <w:br/>
        <w:t>SPDX-FileCopyrightText: 2006 Marijn Kruisselbrink &lt;m.kruisselbrink@student</w:t>
      </w:r>
      <w:r>
        <w:rPr>
          <w:rStyle w:val="a0"/>
          <w:rFonts w:ascii="宋体" w:hAnsi="宋体"/>
          <w:sz w:val="22"/>
        </w:rPr>
        <w:t>.tue.nl&gt;</w:t>
      </w:r>
      <w:r>
        <w:rPr>
          <w:rStyle w:val="a0"/>
          <w:rFonts w:ascii="宋体" w:hAnsi="宋体"/>
          <w:sz w:val="22"/>
        </w:rPr>
        <w:br/>
        <w:t>SPDX-FileCopyrightText: 2008 Lubos Lunak &lt;l.lunak@kde.org&gt;</w:t>
      </w:r>
      <w:r>
        <w:rPr>
          <w:rStyle w:val="a0"/>
          <w:rFonts w:ascii="宋体" w:hAnsi="宋体"/>
          <w:sz w:val="22"/>
        </w:rPr>
        <w:br/>
        <w:t>SPDX-FileCopyrightText: 2015 Thomas Lübking &lt;thomas.luebking@gmail.com&gt;</w:t>
      </w:r>
      <w:r>
        <w:rPr>
          <w:rStyle w:val="a0"/>
          <w:rFonts w:ascii="宋体" w:hAnsi="宋体"/>
          <w:sz w:val="22"/>
        </w:rPr>
        <w:br/>
        <w:t>SPDX-FileCopyrightText: 2014 Martin Gräßlin &lt;mgraesslin@kde.org&gt;</w:t>
      </w:r>
      <w:r>
        <w:rPr>
          <w:rStyle w:val="a0"/>
          <w:rFonts w:ascii="宋体" w:hAnsi="宋体"/>
          <w:sz w:val="22"/>
        </w:rPr>
        <w:br/>
        <w:t>SPDX-FileCopyrightText: 2004 Jarosław Staniek &lt;stan</w:t>
      </w:r>
      <w:r>
        <w:rPr>
          <w:rStyle w:val="a0"/>
          <w:rFonts w:ascii="宋体" w:hAnsi="宋体"/>
          <w:sz w:val="22"/>
        </w:rPr>
        <w:t>iek@kde.org&gt;</w:t>
      </w:r>
      <w:r>
        <w:rPr>
          <w:rStyle w:val="a0"/>
          <w:rFonts w:ascii="宋体" w:hAnsi="宋体"/>
          <w:sz w:val="22"/>
        </w:rPr>
        <w:br/>
        <w:t>SPDX-FileCopyrightText: 2011 Pau Garcia i Quiles &lt;pgquiles@elpauer.org&gt;</w:t>
      </w:r>
      <w:r>
        <w:rPr>
          <w:rStyle w:val="a0"/>
          <w:rFonts w:ascii="宋体" w:hAnsi="宋体"/>
          <w:sz w:val="22"/>
        </w:rPr>
        <w:br/>
        <w:t>Copyright (C) 2007 Free Software Foundation, Inc. &lt;https:fsf.org/&gt;</w:t>
      </w:r>
      <w:r>
        <w:rPr>
          <w:rStyle w:val="a0"/>
          <w:rFonts w:ascii="宋体" w:hAnsi="宋体"/>
          <w:sz w:val="22"/>
        </w:rPr>
        <w:br/>
        <w:t>Copyright (C) 1991, 1999 Free Software Founda</w:t>
      </w:r>
      <w:r>
        <w:rPr>
          <w:rStyle w:val="a0"/>
          <w:rFonts w:ascii="宋体" w:hAnsi="宋体"/>
          <w:sz w:val="22"/>
        </w:rPr>
        <w:t>tion, Inc.</w:t>
      </w:r>
      <w:r>
        <w:rPr>
          <w:rStyle w:val="a0"/>
          <w:rFonts w:ascii="宋体" w:hAnsi="宋体"/>
          <w:sz w:val="22"/>
        </w:rPr>
        <w:br/>
        <w:t>SPDX-FileCopyrightText: 2000 Troll Tech AS</w:t>
      </w:r>
      <w:r>
        <w:rPr>
          <w:rStyle w:val="a0"/>
          <w:rFonts w:ascii="宋体" w:hAnsi="宋体"/>
          <w:sz w:val="22"/>
        </w:rPr>
        <w:br/>
        <w:t>SPDX-FileCopyrightText: 2007 Laurent Montel &lt;montel@kde.org&gt;</w:t>
      </w:r>
      <w:r>
        <w:rPr>
          <w:rStyle w:val="a0"/>
          <w:rFonts w:ascii="宋体" w:hAnsi="宋体"/>
          <w:sz w:val="22"/>
        </w:rPr>
        <w:br/>
        <w:t>SPDX-FileCopyrightText: 2019 Vlad Zahorodnii &lt;vlad.zahorodnii@kde.org&gt;</w:t>
      </w:r>
      <w:r>
        <w:rPr>
          <w:rStyle w:val="a0"/>
          <w:rFonts w:ascii="宋体" w:hAnsi="宋体"/>
          <w:sz w:val="22"/>
        </w:rPr>
        <w:br/>
      </w:r>
    </w:p>
    <w:p>
      <w:pPr/>
      <w:r>
        <w:rPr>
          <w:rStyle w:val="a0"/>
          <w:b/>
        </w:rPr>
        <w:t xml:space="preserve">License: </w:t>
      </w:r>
      <w:r>
        <w:rPr>
          <w:rStyle w:val="a0"/>
          <w:sz w:val="21"/>
        </w:rPr>
        <w:t>LGPLv2+ and MIT</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w:t>
      </w:r>
      <w:r>
        <w:rPr>
          <w:rStyle w:val="a0"/>
          <w:rFonts w:ascii="Times New Roman" w:hAnsi="Times New Roman"/>
          <w:sz w:val="21"/>
        </w:rPr>
        <w:t>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w:t>
      </w:r>
      <w:r>
        <w:rPr>
          <w:rStyle w:val="a0"/>
          <w:rFonts w:ascii="Times New Roman" w:hAnsi="Times New Roman"/>
          <w:sz w:val="21"/>
        </w:rPr>
        <w:t>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w:t>
      </w:r>
      <w:r>
        <w:rPr>
          <w:rStyle w:val="a0"/>
          <w:rFonts w:ascii="Times New Roman" w:hAnsi="Times New Roman"/>
          <w:sz w:val="21"/>
        </w:rPr>
        <w:t>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w:t>
      </w:r>
      <w:r>
        <w:rPr>
          <w:rStyle w:val="a0"/>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w:t>
      </w:r>
      <w:r>
        <w:rPr>
          <w:rStyle w:val="a0"/>
          <w:rFonts w:ascii="Times New Roman" w:hAnsi="Times New Roman"/>
          <w:sz w:val="21"/>
        </w:rPr>
        <w:t>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w:t>
      </w:r>
      <w:r>
        <w:rPr>
          <w:rStyle w:val="a0"/>
          <w:rFonts w:ascii="Times New Roman" w:hAnsi="Times New Roman"/>
          <w:sz w:val="21"/>
        </w:rPr>
        <w:t>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w:t>
      </w:r>
      <w:r>
        <w:rPr>
          <w:rStyle w:val="a0"/>
          <w:rFonts w:ascii="Times New Roman" w:hAnsi="Times New Roman"/>
          <w:sz w:val="21"/>
        </w:rPr>
        <w:t>hat there is no warranty for this free library. If the library is modified by someone else and passed on, we want its recipients to know that what they have is not the original version,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w:t>
      </w:r>
      <w:r>
        <w:rPr>
          <w:rStyle w:val="a0"/>
          <w:rFonts w:ascii="Times New Roman" w:hAnsi="Times New Roman"/>
          <w:sz w:val="21"/>
        </w:rPr>
        <w:t xml:space="preserve">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w:t>
      </w:r>
      <w:r>
        <w:rPr>
          <w:rStyle w:val="a0"/>
          <w:rFonts w:ascii="Times New Roman" w:hAnsi="Times New Roman"/>
          <w:sz w:val="21"/>
        </w:rPr>
        <w:t xml:space="preserve">signed for utility programs. This license, the GNU Library General Public License, applies to certain designated libraries. This license is quite different from the ordinary one; be sure to read it in full, and don't assume that anything in it is the same </w:t>
      </w:r>
      <w:r>
        <w:rPr>
          <w:rStyle w:val="a0"/>
          <w:rFonts w:ascii="Times New Roman" w:hAnsi="Times New Roman"/>
          <w:sz w:val="21"/>
        </w:rPr>
        <w:t>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w:t>
      </w:r>
      <w:r>
        <w:rPr>
          <w:rStyle w:val="a0"/>
          <w:rFonts w:ascii="Times New Roman" w:hAnsi="Times New Roman"/>
          <w:sz w:val="21"/>
        </w:rPr>
        <w:t>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w:t>
      </w:r>
      <w:r>
        <w:rPr>
          <w:rStyle w:val="a0"/>
          <w:rFonts w:ascii="Times New Roman" w:hAnsi="Times New Roman"/>
          <w:sz w:val="21"/>
        </w:rPr>
        <w:t xml:space="preserve">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w:t>
      </w:r>
      <w:r>
        <w:rPr>
          <w:rStyle w:val="a0"/>
          <w:rFonts w:ascii="Times New Roman" w:hAnsi="Times New Roman"/>
          <w:sz w:val="21"/>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Style w:val="a0"/>
          <w:rFonts w:ascii="Times New Roman" w:hAnsi="Times New Roman"/>
          <w:sz w:val="21"/>
        </w:rPr>
        <w:t xml:space="preserve">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w:t>
      </w:r>
      <w:r>
        <w:rPr>
          <w:rStyle w:val="a0"/>
          <w:rFonts w:ascii="Times New Roman" w:hAnsi="Times New Roman"/>
          <w:sz w:val="21"/>
        </w:rPr>
        <w:t>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w:t>
      </w:r>
      <w:r>
        <w:rPr>
          <w:rStyle w:val="a0"/>
          <w:rFonts w:ascii="Times New Roman" w:hAnsi="Times New Roman"/>
          <w:sz w:val="21"/>
        </w:rPr>
        <w:t>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w:t>
      </w:r>
      <w:r>
        <w:rPr>
          <w:rStyle w:val="a0"/>
          <w:rFonts w:ascii="Times New Roman" w:hAnsi="Times New Roman"/>
          <w:sz w:val="21"/>
        </w:rPr>
        <w:t>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w:t>
      </w:r>
      <w:r>
        <w:rPr>
          <w:rStyle w:val="a0"/>
          <w:rFonts w:ascii="Times New Roman" w:hAnsi="Times New Roman"/>
          <w:sz w:val="21"/>
        </w:rPr>
        <w:t xml:space="preserve">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w:t>
      </w:r>
      <w:r>
        <w:rPr>
          <w:rStyle w:val="a0"/>
          <w:rFonts w:ascii="Times New Roman" w:hAnsi="Times New Roman"/>
          <w:sz w:val="21"/>
        </w:rPr>
        <w:t>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w:t>
      </w:r>
      <w:r>
        <w:rPr>
          <w:rStyle w:val="a0"/>
          <w:rFonts w:ascii="Times New Roman" w:hAnsi="Times New Roman"/>
          <w:sz w:val="21"/>
        </w:rPr>
        <w:t>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w:t>
      </w:r>
      <w:r>
        <w:rPr>
          <w:rStyle w:val="a0"/>
          <w:rFonts w:ascii="Times New Roman" w:hAnsi="Times New Roman"/>
          <w:sz w:val="21"/>
        </w:rPr>
        <w:t>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 xml:space="preserve">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w:t>
      </w:r>
      <w:r>
        <w:rPr>
          <w:rStyle w:val="a0"/>
          <w:rFonts w:ascii="Times New Roman" w:hAnsi="Times New Roman"/>
          <w:sz w:val="21"/>
        </w:rPr>
        <w:t xml:space="preserve">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w:t>
      </w:r>
      <w:r>
        <w:rPr>
          <w:rStyle w:val="a0"/>
          <w:rFonts w:ascii="Times New Roman" w:hAnsi="Times New Roman"/>
          <w:sz w:val="21"/>
        </w:rPr>
        <w:t>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w:t>
      </w:r>
      <w:r>
        <w:rPr>
          <w:rStyle w:val="a0"/>
          <w:rFonts w:ascii="Times New Roman" w:hAnsi="Times New Roman"/>
          <w:sz w:val="21"/>
        </w:rPr>
        <w:t xml:space="preserve">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w:t>
      </w:r>
      <w:r>
        <w:rPr>
          <w:rStyle w:val="a0"/>
          <w:rFonts w:ascii="Times New Roman" w:hAnsi="Times New Roman"/>
          <w:sz w:val="21"/>
        </w:rPr>
        <w:t>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w:t>
      </w:r>
      <w:r>
        <w:rPr>
          <w:rStyle w:val="a0"/>
          <w:rFonts w:ascii="Times New Roman" w:hAnsi="Times New Roman"/>
          <w:sz w:val="21"/>
        </w:rPr>
        <w:t>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w:t>
      </w:r>
      <w:r>
        <w:rPr>
          <w:rStyle w:val="a0"/>
          <w:rFonts w:ascii="Times New Roman" w:hAnsi="Times New Roman"/>
          <w:sz w:val="21"/>
        </w:rPr>
        <w:t>application program that uses the facility, other than as an argument passed when the facility is invoked, then you must make a good faith effort to ensure that, in the event an application does not supply such function or table, the facility still operate</w:t>
      </w:r>
      <w:r>
        <w:rPr>
          <w:rStyle w:val="a0"/>
          <w:rFonts w:ascii="Times New Roman" w:hAnsi="Times New Roman"/>
          <w:sz w:val="21"/>
        </w:rPr>
        <w:t>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w:t>
      </w:r>
      <w:r>
        <w:rPr>
          <w:rStyle w:val="a0"/>
          <w:rFonts w:ascii="Times New Roman" w:hAnsi="Times New Roman"/>
          <w:sz w:val="21"/>
        </w:rPr>
        <w:t>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w:t>
      </w:r>
      <w:r>
        <w:rPr>
          <w:rStyle w:val="a0"/>
          <w:rFonts w:ascii="Times New Roman" w:hAnsi="Times New Roman"/>
          <w:sz w:val="21"/>
        </w:rPr>
        <w:t xml:space="preserve">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w:t>
      </w:r>
      <w:r>
        <w:rPr>
          <w:rStyle w:val="a0"/>
          <w:rFonts w:ascii="Times New Roman" w:hAnsi="Times New Roman"/>
          <w:sz w:val="21"/>
        </w:rPr>
        <w:t>e same sections as part of a whole which is a work based on the Library, the distribution of the whole must be on the terms of this License, whose permissions for other licensees extend to the entire whole, and thus to each and every part regardless of who</w:t>
      </w:r>
      <w:r>
        <w:rPr>
          <w:rStyle w:val="a0"/>
          <w:rFonts w:ascii="Times New Roman" w:hAnsi="Times New Roman"/>
          <w:sz w:val="21"/>
        </w:rPr>
        <w:t xml:space="preserve">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w:t>
      </w:r>
      <w:r>
        <w:rPr>
          <w:rStyle w:val="a0"/>
          <w:rFonts w:ascii="Times New Roman" w:hAnsi="Times New Roman"/>
          <w:sz w:val="21"/>
        </w:rPr>
        <w:t xml:space="preserve">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GNU General Public License, version</w:t>
      </w:r>
      <w:r>
        <w:rPr>
          <w:rStyle w:val="a0"/>
          <w:rFonts w:ascii="Times New Roman" w:hAnsi="Times New Roman"/>
          <w:sz w:val="21"/>
        </w:rPr>
        <w:t xml:space="preserve">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w:t>
      </w:r>
      <w:r>
        <w:rPr>
          <w:rStyle w:val="a0"/>
          <w:rFonts w:ascii="Times New Roman" w:hAnsi="Times New Roman"/>
          <w:sz w:val="21"/>
        </w:rPr>
        <w:t xml:space="preserve">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w:t>
      </w:r>
      <w:r>
        <w:rPr>
          <w:rStyle w:val="a0"/>
          <w:rFonts w:ascii="Times New Roman" w:hAnsi="Times New Roman"/>
          <w:sz w:val="21"/>
        </w:rPr>
        <w:t xml:space="preserve">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w:t>
      </w:r>
      <w:r>
        <w:rPr>
          <w:rStyle w:val="a0"/>
          <w:rFonts w:ascii="Times New Roman" w:hAnsi="Times New Roman"/>
          <w:sz w:val="21"/>
        </w:rPr>
        <w:t>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w:t>
      </w:r>
      <w:r>
        <w:rPr>
          <w:rStyle w:val="a0"/>
          <w:rFonts w:ascii="Times New Roman" w:hAnsi="Times New Roman"/>
          <w:sz w:val="21"/>
        </w:rPr>
        <w:t xml:space="preser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w:t>
      </w:r>
      <w:r>
        <w:rPr>
          <w:rStyle w:val="a0"/>
          <w:rFonts w:ascii="Times New Roman" w:hAnsi="Times New Roman"/>
          <w:sz w:val="21"/>
        </w:rPr>
        <w:t>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w:t>
      </w:r>
      <w:r>
        <w:rPr>
          <w:rStyle w:val="a0"/>
          <w:rFonts w:ascii="Times New Roman" w:hAnsi="Times New Roman"/>
          <w:sz w:val="21"/>
        </w:rPr>
        <w:t>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that is part of the Library, the object code for the work may be a derivative work of the Libra</w:t>
      </w:r>
      <w:r>
        <w:rPr>
          <w:rStyle w:val="a0"/>
          <w:rFonts w:ascii="Times New Roman" w:hAnsi="Times New Roman"/>
          <w:sz w:val="21"/>
        </w:rPr>
        <w:t xml:space="preserve">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w:t>
      </w:r>
      <w:r>
        <w:rPr>
          <w:rStyle w:val="a0"/>
          <w:rFonts w:ascii="Times New Roman" w:hAnsi="Times New Roman"/>
          <w:sz w:val="21"/>
        </w:rPr>
        <w:t>ile uses only numerical parameters, data structure layouts and accessors, and small macros and small inline functions (ten lines or less in length), then the use of the object file is unrestricted, regardless of whether it is legally a derivative work. (Ex</w:t>
      </w:r>
      <w:r>
        <w:rPr>
          <w:rStyle w:val="a0"/>
          <w:rFonts w:ascii="Times New Roman" w:hAnsi="Times New Roman"/>
          <w:sz w:val="21"/>
        </w:rPr>
        <w:t xml:space="preserve">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w:t>
      </w:r>
      <w:r>
        <w:rPr>
          <w:rStyle w:val="a0"/>
          <w:rFonts w:ascii="Times New Roman" w:hAnsi="Times New Roman"/>
          <w:sz w:val="21"/>
        </w:rPr>
        <w:t xml:space="preserve">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w:t>
      </w:r>
      <w:r>
        <w:rPr>
          <w:rStyle w:val="a0"/>
          <w:rFonts w:ascii="Times New Roman" w:hAnsi="Times New Roman"/>
          <w:sz w:val="21"/>
        </w:rPr>
        <w:t xml:space="preserve">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w:t>
      </w:r>
      <w:r>
        <w:rPr>
          <w:rStyle w:val="a0"/>
          <w:rFonts w:ascii="Times New Roman" w:hAnsi="Times New Roman"/>
          <w:sz w:val="21"/>
        </w:rPr>
        <w:t>each copy of the work that the Library is used in it and that the Library and its use are covered by this License. You must supply a copy of this License. If the work during execution displays copyright notices, you must include the copyright notice for th</w:t>
      </w:r>
      <w:r>
        <w:rPr>
          <w:rStyle w:val="a0"/>
          <w:rFonts w:ascii="Times New Roman" w:hAnsi="Times New Roman"/>
          <w:sz w:val="21"/>
        </w:rPr>
        <w:t xml:space="preserve">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w:t>
      </w:r>
      <w:r>
        <w:rPr>
          <w:rStyle w:val="a0"/>
          <w:rFonts w:ascii="Times New Roman" w:hAnsi="Times New Roman"/>
          <w:sz w:val="21"/>
        </w:rPr>
        <w:t xml:space="preserve">es were used in the work (which must be distributed under Sections 1 and 2 above); and, if the work is an executable linked with the Library, with the complete machine-readable "work that uses the Library", as </w:t>
      </w:r>
      <w:r>
        <w:rPr>
          <w:rStyle w:val="a0"/>
          <w:rFonts w:ascii="Times New Roman" w:hAnsi="Times New Roman"/>
          <w:sz w:val="21"/>
        </w:rPr>
        <w:t>object code and/or source code, so that the us</w:t>
      </w:r>
      <w:r>
        <w:rPr>
          <w:rStyle w:val="a0"/>
          <w:rFonts w:ascii="Times New Roman" w:hAnsi="Times New Roman"/>
          <w:sz w:val="21"/>
        </w:rPr>
        <w:t>er can modify the Library and then relink to produce a modified executable containing the modified Library. (It is understood that the user who changes the contents of definitions files in the Library will not necessarily be able to recompile the applicati</w:t>
      </w:r>
      <w:r>
        <w:rPr>
          <w:rStyle w:val="a0"/>
          <w:rFonts w:ascii="Times New Roman" w:hAnsi="Times New Roman"/>
          <w:sz w:val="21"/>
        </w:rPr>
        <w:t>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w:t>
      </w:r>
      <w:r>
        <w:rPr>
          <w:rStyle w:val="a0"/>
          <w:rFonts w:ascii="Times New Roman" w:hAnsi="Times New Roman"/>
          <w:sz w:val="21"/>
        </w:rPr>
        <w:t>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w:t>
      </w:r>
      <w:r>
        <w:rPr>
          <w:rStyle w:val="a0"/>
          <w:rFonts w:ascii="Times New Roman" w:hAnsi="Times New Roman"/>
          <w:sz w:val="21"/>
        </w:rPr>
        <w:t>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w:t>
      </w:r>
      <w:r>
        <w:rPr>
          <w:rStyle w:val="a0"/>
          <w:rFonts w:ascii="Times New Roman" w:hAnsi="Times New Roman"/>
          <w:sz w:val="21"/>
        </w:rPr>
        <w:t>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w:t>
      </w:r>
      <w:r>
        <w:rPr>
          <w:rStyle w:val="a0"/>
          <w:rFonts w:ascii="Times New Roman" w:hAnsi="Times New Roman"/>
          <w:sz w:val="21"/>
        </w:rPr>
        <w:t>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w:t>
      </w:r>
      <w:r>
        <w:rPr>
          <w:rStyle w:val="a0"/>
          <w:rFonts w:ascii="Times New Roman" w:hAnsi="Times New Roman"/>
          <w:sz w:val="21"/>
        </w:rPr>
        <w:t>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w:t>
      </w:r>
      <w:r>
        <w:rPr>
          <w:rStyle w:val="a0"/>
          <w:rFonts w:ascii="Times New Roman" w:hAnsi="Times New Roman"/>
          <w:sz w:val="21"/>
        </w:rPr>
        <w:t>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w:t>
      </w:r>
      <w:r>
        <w:rPr>
          <w:rStyle w:val="a0"/>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w:t>
      </w:r>
      <w:r>
        <w:rPr>
          <w:rStyle w:val="a0"/>
          <w:rFonts w:ascii="Times New Roman" w:hAnsi="Times New Roman"/>
          <w:sz w:val="21"/>
        </w:rPr>
        <w:t xml:space="preserve">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w:t>
      </w:r>
      <w:r>
        <w:rPr>
          <w:rStyle w:val="a0"/>
          <w:rFonts w:ascii="Times New Roman" w:hAnsi="Times New Roman"/>
          <w:sz w:val="21"/>
        </w:rPr>
        <w:t xml:space="preserve">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w:t>
      </w:r>
      <w:r>
        <w:rPr>
          <w:rStyle w:val="a0"/>
          <w:rFonts w:ascii="Times New Roman" w:hAnsi="Times New Roman"/>
          <w:sz w:val="21"/>
        </w:rPr>
        <w:t xml:space="preserve">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w:t>
      </w:r>
      <w:r>
        <w:rPr>
          <w:rStyle w:val="a0"/>
          <w:rFonts w:ascii="Times New Roman" w:hAnsi="Times New Roman"/>
          <w:sz w:val="21"/>
        </w:rPr>
        <w:t xml:space="preserve">ited to patent issues), conditions are imposed on you (whether by court order, agreement or otherwise) that </w:t>
      </w:r>
      <w:r>
        <w:rPr>
          <w:rStyle w:val="a0"/>
          <w:rFonts w:ascii="Times New Roman" w:hAnsi="Times New Roman"/>
          <w:sz w:val="21"/>
        </w:rPr>
        <w:t>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w:t>
      </w:r>
      <w:r>
        <w:rPr>
          <w:rStyle w:val="a0"/>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w:t>
      </w:r>
      <w:r>
        <w:rPr>
          <w:rStyle w:val="a0"/>
          <w:rFonts w:ascii="Times New Roman" w:hAnsi="Times New Roman"/>
          <w:sz w:val="21"/>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Style w:val="a0"/>
          <w:rFonts w:ascii="Times New Roman" w:hAnsi="Times New Roman"/>
          <w:sz w:val="21"/>
        </w:rPr>
        <w:t>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w:t>
      </w:r>
      <w:r>
        <w:rPr>
          <w:rStyle w:val="a0"/>
          <w:rFonts w:ascii="Times New Roman" w:hAnsi="Times New Roman"/>
          <w:sz w:val="21"/>
        </w:rPr>
        <w:t xml:space="preserve">.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w:t>
      </w:r>
      <w:r>
        <w:rPr>
          <w:rStyle w:val="a0"/>
          <w:rFonts w:ascii="Times New Roman" w:hAnsi="Times New Roman"/>
          <w:sz w:val="21"/>
        </w:rPr>
        <w:t xml:space="preserve">ANTY OF ANY KIND, EITHER EXPRESSED OR IMPLIED, INCLUDING, BUT NOT LIMITED TO, THE IMPLIED WARRANTIES OF MERCHANTABILITY AND FITNESS FOR A PARTICULAR PURPOSE. THE ENTIRE RISK AS TO THE QUALITY AND PERFORMANCE OF THE </w:t>
      </w:r>
      <w:r>
        <w:rPr>
          <w:rStyle w:val="a0"/>
          <w:rFonts w:ascii="Times New Roman" w:hAnsi="Times New Roman"/>
          <w:sz w:val="21"/>
        </w:rPr>
        <w:t>LIBRARY IS WITH YOU. SHOULD THE LIBRARY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w:t>
      </w:r>
      <w:r>
        <w:rPr>
          <w:rStyle w:val="a0"/>
          <w:rFonts w:ascii="Times New Roman" w:hAnsi="Times New Roman"/>
          <w:sz w:val="21"/>
        </w:rPr>
        <w:t>PERMITTED ABOVE, BE LIABLE TO YOU FOR DAMAGES, INCLUDING ANY GENERAL, SPECIAL, INCIDENTAL OR CONSEQUENTIAL DAMAGES ARISING OUT OF THE USE OR INABILITY TO USE THE LIBRARY (INCLUDING BUT NOT LIMITED TO LOSS OF DATA OR DATA BEING RENDERED INACCURATE OR LOSSES</w:t>
      </w:r>
      <w:r>
        <w:rPr>
          <w:rStyle w:val="a0"/>
          <w:rFonts w:ascii="Times New Roman" w:hAnsi="Times New Roman"/>
          <w:sz w:val="21"/>
        </w:rPr>
        <w:t xml:space="preserve">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w:t>
      </w:r>
      <w:r>
        <w:rPr>
          <w:rStyle w:val="a0"/>
          <w:rFonts w:ascii="Times New Roman" w:hAnsi="Times New Roman"/>
          <w:sz w:val="21"/>
        </w:rPr>
        <w:t>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w:t>
      </w:r>
      <w:r>
        <w:rPr>
          <w:rStyle w:val="a0"/>
          <w:rFonts w:ascii="Times New Roman" w:hAnsi="Times New Roman"/>
          <w:sz w:val="21"/>
        </w:rPr>
        <w:t>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w:t>
      </w:r>
      <w:r>
        <w:rPr>
          <w:rStyle w:val="a0"/>
          <w:rFonts w:ascii="Times New Roman" w:hAnsi="Times New Roman"/>
          <w:sz w:val="21"/>
        </w:rPr>
        <w:t>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t xml:space="preserve">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w:t>
      </w:r>
      <w:r>
        <w:rPr>
          <w:rStyle w:val="a0"/>
          <w:rFonts w:ascii="Times New Roman" w:hAnsi="Times New Roman"/>
          <w:sz w:val="21"/>
        </w:rPr>
        <w:t>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r>
      <w:r>
        <w:rPr>
          <w:rStyle w:val="a0"/>
          <w:rFonts w:ascii="Times New Roman" w:hAnsi="Times New Roman"/>
          <w:sz w:val="21"/>
        </w:rP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w:t>
      </w:r>
      <w:r>
        <w:rPr>
          <w:rStyle w:val="a0"/>
          <w:rFonts w:ascii="Times New Roman" w:hAnsi="Times New Roman"/>
          <w:sz w:val="21"/>
        </w:rPr>
        <w:t>software and associated documentation files (the "Software"), to deal in the Software without restriction, including without limitation the rights to use, copy, modify, merge, publish, distribute, sublicense, and/or sell copies of the Software, and to perm</w:t>
      </w:r>
      <w:r>
        <w:rPr>
          <w:rStyle w:val="a0"/>
          <w:rFonts w:ascii="Times New Roman" w:hAnsi="Times New Roman"/>
          <w:sz w:val="21"/>
        </w:rPr>
        <w:t>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SOFTWARE IS PROVIDED "AS IS", WITHOUT WARRANTY OF ANY KIND, EXPRESS OR IMPLIED, INCLUDING BUT NOT LIMITED TO THE WARRANTIES OF MERCHANTABILITY, FITNESS FOR A PARTICULAR PURPOSE AND NONINFRINGEMENT. IN NO EVENT SHALL THE AUTHORS OR COPYRIGHT HOLDERS BE LIAB</w:t>
      </w:r>
      <w:r>
        <w:rPr>
          <w:rStyle w:val="a0"/>
          <w:rFonts w:ascii="Times New Roman" w:hAnsi="Times New Roman"/>
          <w:sz w:val="21"/>
        </w:rPr>
        <w:t>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