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python-Flask-APScheduler 1.12.4</w:t>
      </w:r>
    </w:p>
    <w:p>
      <w:pPr/>
      <w:r>
        <w:rPr>
          <w:rStyle w:val="13"/>
          <w:rFonts w:ascii="Arial" w:hAnsi="Arial"/>
          <w:b/>
        </w:rPr>
        <w:t xml:space="preserve">Copyright notice: </w:t>
      </w:r>
    </w:p>
    <w:p>
      <w:pPr/>
      <w:r>
        <w:rPr>
          <w:rStyle w:val="13"/>
          <w:rFonts w:ascii="宋体" w:hAnsi="宋体"/>
          <w:sz w:val="22"/>
        </w:rPr>
        <w:t>Copyright 2015 Vinicius Chiele. All rights reserved.</w:t>
        <w:br/>
        <w:t>Copyright 2015 Vinicius Chiele</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