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perl-String-ShellQuote</w:t>
      </w:r>
      <w:r>
        <w:rPr>
          <w:rStyle w:val="a0"/>
          <w:rFonts w:ascii="Arial" w:hAnsi="Arial"/>
          <w:b w:val="0"/>
          <w:sz w:val="21"/>
        </w:rPr>
        <w:t xml:space="preserve"> </w:t>
      </w:r>
      <w:r>
        <w:rPr>
          <w:rStyle w:val="a0"/>
          <w:rFonts w:ascii="Arial" w:hAnsi="Arial"/>
          <w:b w:val="0"/>
          <w:sz w:val="21"/>
        </w:rPr>
        <w:t>1.04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1997 Roderick Schertler. All rights reserved. This program is free software; you can redistribute it and/or modify it under the same terms as Perl itself.</w:t>
      </w:r>
    </w:p>
    <w:p>
      <w:pPr>
        <w:spacing w:line="420" w:lineRule="exact"/>
      </w:pPr>
      <w:r>
        <w:rPr>
          <w:rStyle w:val="a0"/>
          <w:rFonts w:ascii="Arial" w:hAnsi="Arial"/>
          <w:sz w:val="20"/>
        </w:rPr>
        <w:t>Copyright (C) 1999 Roderick Schertler</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 and GPLv2+</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