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ghc-th-lift 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Ian Lynagh, 2006; Mathieu Boespflug, 2010-2019; Ryan Scott 2019.</w:t>
        <w:br/>
      </w:r>
    </w:p>
    <w:p>
      <w:pPr>
        <w:spacing w:line="420" w:lineRule="exact"/>
        <w:rPr>
          <w:rFonts w:hint="eastAsia"/>
        </w:rPr>
      </w:pPr>
      <w:r>
        <w:rPr>
          <w:rFonts w:ascii="Arial" w:hAnsi="Arial"/>
          <w:b/>
          <w:sz w:val="24"/>
        </w:rPr>
        <w:t xml:space="preserve">License: </w:t>
      </w:r>
      <w:r>
        <w:rPr>
          <w:rFonts w:ascii="Arial" w:hAnsi="Arial"/>
          <w:sz w:val="21"/>
        </w:rPr>
        <w:t>(BSD-3-Clause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