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sqlite-jdbc 3.15.1</w:t>
      </w:r>
    </w:p>
    <w:p>
      <w:pPr/>
      <w:r>
        <w:rPr>
          <w:rStyle w:val="13"/>
          <w:rFonts w:ascii="Arial" w:hAnsi="Arial"/>
          <w:b/>
        </w:rPr>
        <w:t xml:space="preserve">Copyright notice: </w:t>
      </w:r>
    </w:p>
    <w:p>
      <w:pPr/>
      <w:r>
        <w:rPr>
          <w:rStyle w:val="13"/>
          <w:rFonts w:ascii="宋体" w:hAnsi="宋体"/>
          <w:sz w:val="22"/>
        </w:rPr>
        <w:t>Copyright (c) 2006, David Crawshaw.  All rights reserved.</w:t>
        <w:br/>
        <w:t>Copyright 2010 Taro L. Saito</w:t>
        <w:br/>
        <w:t>Copyright 2016 Magnus Reftel</w:t>
        <w:br/>
        <w:t>Copyright (c) 1996, 2006, Oracle and/or its affiliates. All rights reserved.</w:t>
        <w:br/>
        <w:t>Copyright (c) 2006, Oracle and/or its affiliates. All rights reserved.</w:t>
        <w:br/>
        <w:t>Copyright 2004 Sun Microsystems, Inc. All rights reserved.</w:t>
        <w:br/>
        <w:t>Copyright 2009 Taro L. Saito</w:t>
        <w:br/>
        <w:t>Copyright 2008 Taro L. Saito</w:t>
        <w:br/>
        <w:t>Copyright 1992, 1993, 1994, 1997 Henry Spencer.  All rights reserved.</w:t>
        <w:br/>
        <w:t>Copyright (c) 2007 David Crawshaw &lt;david@zentus.com&gt;</w:t>
        <w:br/>
        <w:t>Copyright 2007 Taro L. Saito</w:t>
        <w:br/>
        <w:t>Copyright (c) 1996 Netscape Communications Corporation. All rights reserved.</w:t>
        <w:br/>
      </w:r>
    </w:p>
    <w:p>
      <w:pPr/>
      <w:r>
        <w:rPr>
          <w:rStyle w:val="13"/>
          <w:rFonts w:ascii="Arial" w:hAnsi="Arial"/>
          <w:b/>
          <w:sz w:val="24"/>
        </w:rPr>
        <w:t xml:space="preserve">License: </w:t>
      </w:r>
      <w:r>
        <w:rPr>
          <w:rStyle w:val="13"/>
          <w:rFonts w:ascii="Arial" w:hAnsi="Arial"/>
          <w:sz w:val="21"/>
        </w:rPr>
        <w:t>ASL 2.0 and BSD and ISC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